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24D" w:rsidRPr="002476CE" w:rsidRDefault="00C7224D" w:rsidP="00C7224D">
      <w:pPr>
        <w:tabs>
          <w:tab w:val="left" w:pos="851"/>
        </w:tabs>
        <w:spacing w:before="120" w:line="252" w:lineRule="auto"/>
        <w:ind w:firstLine="567"/>
        <w:jc w:val="both"/>
        <w:rPr>
          <w:b/>
          <w:bCs/>
          <w:sz w:val="28"/>
          <w:lang w:val="nl-NL"/>
        </w:rPr>
      </w:pPr>
      <w:bookmarkStart w:id="0" w:name="_GoBack"/>
      <w:r w:rsidRPr="002476CE">
        <w:rPr>
          <w:b/>
          <w:bCs/>
          <w:sz w:val="28"/>
        </w:rPr>
        <w:t>2</w:t>
      </w:r>
      <w:r w:rsidRPr="002476CE">
        <w:rPr>
          <w:b/>
          <w:bCs/>
          <w:sz w:val="28"/>
          <w:lang w:val="nl-NL"/>
        </w:rPr>
        <w:t xml:space="preserve">. Thủ tục giải quyết kiến nghị về kết quả lựa chọn nhà đầu tư </w:t>
      </w:r>
      <w:bookmarkEnd w:id="0"/>
      <w:r w:rsidRPr="002476CE">
        <w:rPr>
          <w:b/>
          <w:bCs/>
          <w:sz w:val="28"/>
          <w:lang w:val="nl-NL"/>
        </w:rPr>
        <w:t>(Điều 7, Điều 88, Điều 90 Nghị định số 30/2015/NĐ-CP; Điều 92 Luật Đấu thầu 2013)</w:t>
      </w:r>
    </w:p>
    <w:p w:rsidR="00C7224D" w:rsidRPr="002476CE" w:rsidRDefault="00C7224D" w:rsidP="00C7224D">
      <w:pPr>
        <w:widowControl w:val="0"/>
        <w:numPr>
          <w:ilvl w:val="0"/>
          <w:numId w:val="4"/>
        </w:numPr>
        <w:tabs>
          <w:tab w:val="left" w:pos="851"/>
        </w:tabs>
        <w:spacing w:before="120" w:after="200" w:line="252" w:lineRule="auto"/>
        <w:ind w:hanging="503"/>
        <w:jc w:val="both"/>
        <w:rPr>
          <w:b/>
          <w:sz w:val="28"/>
        </w:rPr>
      </w:pPr>
      <w:r w:rsidRPr="002476CE">
        <w:rPr>
          <w:b/>
          <w:sz w:val="28"/>
        </w:rPr>
        <w:t xml:space="preserve">Trình tự thực hiện: </w:t>
      </w:r>
    </w:p>
    <w:p w:rsidR="00C7224D" w:rsidRPr="002476CE" w:rsidRDefault="00C7224D" w:rsidP="00C7224D">
      <w:pPr>
        <w:tabs>
          <w:tab w:val="left" w:pos="851"/>
        </w:tabs>
        <w:spacing w:before="120" w:line="252" w:lineRule="auto"/>
        <w:ind w:firstLine="567"/>
        <w:jc w:val="both"/>
        <w:rPr>
          <w:iCs/>
          <w:sz w:val="28"/>
          <w:lang w:val="de-DE"/>
        </w:rPr>
      </w:pPr>
      <w:r w:rsidRPr="002476CE">
        <w:rPr>
          <w:iCs/>
          <w:sz w:val="28"/>
          <w:lang w:val="de-DE"/>
        </w:rPr>
        <w:t xml:space="preserve">- </w:t>
      </w:r>
      <w:r w:rsidRPr="002476CE">
        <w:rPr>
          <w:b/>
          <w:iCs/>
          <w:sz w:val="28"/>
          <w:lang w:val="de-DE"/>
        </w:rPr>
        <w:t>Bước 1</w:t>
      </w:r>
      <w:r w:rsidRPr="002476CE">
        <w:rPr>
          <w:iCs/>
          <w:sz w:val="28"/>
          <w:lang w:val="de-DE"/>
        </w:rPr>
        <w:t>: Trong thời hạn 10 ngày, kể từ ngày có thông báo kết quả lựa chọn nhà đầu tư, Nhà đầu tư gửi văn bản kiến nghị đến bên mời thầu.</w:t>
      </w:r>
    </w:p>
    <w:p w:rsidR="00C7224D" w:rsidRPr="002476CE" w:rsidRDefault="00C7224D" w:rsidP="00C7224D">
      <w:pPr>
        <w:tabs>
          <w:tab w:val="left" w:pos="851"/>
        </w:tabs>
        <w:spacing w:before="120" w:line="252" w:lineRule="auto"/>
        <w:ind w:firstLine="567"/>
        <w:jc w:val="both"/>
        <w:rPr>
          <w:iCs/>
          <w:sz w:val="28"/>
          <w:lang w:val="de-DE"/>
        </w:rPr>
      </w:pPr>
      <w:r w:rsidRPr="002476CE">
        <w:rPr>
          <w:iCs/>
          <w:sz w:val="28"/>
          <w:lang w:val="de-DE"/>
        </w:rPr>
        <w:t xml:space="preserve">- </w:t>
      </w:r>
      <w:r w:rsidRPr="002476CE">
        <w:rPr>
          <w:b/>
          <w:iCs/>
          <w:sz w:val="28"/>
          <w:lang w:val="de-DE"/>
        </w:rPr>
        <w:t>Bước 2</w:t>
      </w:r>
      <w:r w:rsidRPr="002476CE">
        <w:rPr>
          <w:iCs/>
          <w:sz w:val="28"/>
          <w:lang w:val="de-DE"/>
        </w:rPr>
        <w:t>: Bên mời thầu phải có văn bản giải quyết kiến nghị gửi đến nhà đầu tư trong thời hạn 15 ngày, kể từ ngày nhận được văn bản kiến nghị của nhà đầu tư.</w:t>
      </w:r>
    </w:p>
    <w:p w:rsidR="00C7224D" w:rsidRPr="002476CE" w:rsidRDefault="00C7224D" w:rsidP="00C7224D">
      <w:pPr>
        <w:widowControl w:val="0"/>
        <w:spacing w:before="120" w:after="120" w:line="271" w:lineRule="auto"/>
        <w:ind w:firstLine="567"/>
        <w:jc w:val="both"/>
        <w:outlineLvl w:val="0"/>
        <w:rPr>
          <w:spacing w:val="-4"/>
          <w:sz w:val="28"/>
        </w:rPr>
      </w:pPr>
      <w:r w:rsidRPr="002476CE">
        <w:rPr>
          <w:iCs/>
          <w:sz w:val="28"/>
          <w:lang w:val="de-DE"/>
        </w:rPr>
        <w:t xml:space="preserve">- </w:t>
      </w:r>
      <w:r w:rsidRPr="002476CE">
        <w:rPr>
          <w:b/>
          <w:iCs/>
          <w:sz w:val="28"/>
          <w:lang w:val="de-DE"/>
        </w:rPr>
        <w:t>Bước 3</w:t>
      </w:r>
      <w:r w:rsidRPr="002476CE">
        <w:rPr>
          <w:iCs/>
          <w:sz w:val="28"/>
          <w:lang w:val="de-DE"/>
        </w:rPr>
        <w:t>: Trường hợp bên mời thầu không có văn bản giải quyết kiến nghị hoặc nhà đầu tư không đồng ý với kết quả giải quyết kiến nghị: Trong thời hạn 05 ngày làm việc, kể từ ngày hết hạn trả lời hoặc ngày nhận được văn bản giải quyết kiến nghị của bên mời thầu, nhà đầu tư có quyền gửi văn bản kiến nghị đồng thời đến Chủ tịch Ủy ban nhân dân cấp huyện và</w:t>
      </w:r>
      <w:r w:rsidRPr="002476CE">
        <w:rPr>
          <w:spacing w:val="-4"/>
          <w:sz w:val="28"/>
        </w:rPr>
        <w:t xml:space="preserve"> Hội đồng tư vấn giải quyết kiến nghị (Chủ tịch Hội đồng tư vấn giải quyết kiến nghị là Giám đốc Sở Kế hoạch và Đầu tư). </w:t>
      </w:r>
    </w:p>
    <w:p w:rsidR="00C7224D" w:rsidRPr="002476CE" w:rsidRDefault="00C7224D" w:rsidP="00C7224D">
      <w:pPr>
        <w:tabs>
          <w:tab w:val="left" w:pos="851"/>
        </w:tabs>
        <w:spacing w:before="120" w:line="252" w:lineRule="auto"/>
        <w:ind w:firstLine="567"/>
        <w:jc w:val="both"/>
        <w:rPr>
          <w:iCs/>
          <w:sz w:val="28"/>
          <w:lang w:val="de-DE"/>
        </w:rPr>
      </w:pPr>
      <w:r w:rsidRPr="002476CE">
        <w:rPr>
          <w:iCs/>
          <w:sz w:val="28"/>
          <w:lang w:val="de-DE"/>
        </w:rPr>
        <w:t xml:space="preserve">- </w:t>
      </w:r>
      <w:r w:rsidRPr="002476CE">
        <w:rPr>
          <w:b/>
          <w:iCs/>
          <w:sz w:val="28"/>
          <w:lang w:val="de-DE"/>
        </w:rPr>
        <w:t>Bước 4</w:t>
      </w:r>
      <w:r w:rsidRPr="002476CE">
        <w:rPr>
          <w:iCs/>
          <w:sz w:val="28"/>
          <w:lang w:val="de-DE"/>
        </w:rPr>
        <w:t xml:space="preserve">:  </w:t>
      </w:r>
    </w:p>
    <w:p w:rsidR="00C7224D" w:rsidRPr="002476CE" w:rsidRDefault="00C7224D" w:rsidP="00C7224D">
      <w:pPr>
        <w:tabs>
          <w:tab w:val="left" w:pos="851"/>
        </w:tabs>
        <w:spacing w:before="120" w:line="252" w:lineRule="auto"/>
        <w:ind w:firstLine="567"/>
        <w:jc w:val="both"/>
        <w:rPr>
          <w:iCs/>
          <w:sz w:val="28"/>
          <w:lang w:val="de-DE"/>
        </w:rPr>
      </w:pPr>
      <w:r w:rsidRPr="002476CE">
        <w:rPr>
          <w:iCs/>
          <w:sz w:val="28"/>
          <w:lang w:val="de-DE"/>
        </w:rPr>
        <w:t>+ Trong thời hạn 30 ngày, kể từ ngày nhận được văn bản kiến nghị của nhà đầu tư, Hội đồng tư vấn giải quyết kiến nghị có quyền yêu cầu nhà đầu tư, bên mời thầu và các cơ quan liên quan cung cấp thông tin để xem xét và có văn bản báo cáo Chủ tịch Ủy ban nhân dân cấp huyện về phương án, nội dung trả lời kiến nghị.</w:t>
      </w:r>
    </w:p>
    <w:p w:rsidR="00C7224D" w:rsidRPr="002476CE" w:rsidRDefault="00C7224D" w:rsidP="00C7224D">
      <w:pPr>
        <w:tabs>
          <w:tab w:val="left" w:pos="851"/>
        </w:tabs>
        <w:spacing w:before="120" w:line="252" w:lineRule="auto"/>
        <w:ind w:firstLine="567"/>
        <w:jc w:val="both"/>
        <w:rPr>
          <w:iCs/>
          <w:sz w:val="28"/>
          <w:lang w:val="de-DE"/>
        </w:rPr>
      </w:pPr>
      <w:r w:rsidRPr="002476CE">
        <w:rPr>
          <w:iCs/>
          <w:sz w:val="28"/>
          <w:lang w:val="de-DE"/>
        </w:rPr>
        <w:t>+ Trong trường hợp cần thiết, Hội đồng tư vấn giải quyết kiến nghị căn cứ văn bản kiến nghị của nhà đầu tư đề nghị Chủ tịch Ủy ban nhân dân cấp huyện xem xét tạm dừng cuộc thầu. Nếu chấp thuận, trong thời hạn 10 ngày, kể từ ngày nhận được văn bản của Hội đồng tư vấn giải quyết kiến nghị, Chủ tịch Ủy ban nhân dân cấp huyện có văn bản thông báo tạm dừng cuộc thầu. Văn bản tạm dừng cuộc thầu phải được gửi đến bên mời thầu, nhà đầu tư trong thời hạn 05 ngày làm việc, kể từ ngày ra văn bản thông báo tạm dừng cuộc thầu. Thời gian tạm dừng cuộc thầu được tính từ ngày bên mời thầu nhận được thông báo tạm dừng đến khi Chủ tịch Ủy ban nhân dân cấp huyện ban hành văn bản giải quyết kiến nghị.</w:t>
      </w:r>
    </w:p>
    <w:p w:rsidR="00C7224D" w:rsidRPr="002476CE" w:rsidRDefault="00C7224D" w:rsidP="00C7224D">
      <w:pPr>
        <w:tabs>
          <w:tab w:val="left" w:pos="851"/>
        </w:tabs>
        <w:spacing w:before="120" w:line="252" w:lineRule="auto"/>
        <w:ind w:firstLine="567"/>
        <w:jc w:val="both"/>
        <w:rPr>
          <w:iCs/>
          <w:sz w:val="28"/>
          <w:lang w:val="de-DE"/>
        </w:rPr>
      </w:pPr>
      <w:r w:rsidRPr="002476CE">
        <w:rPr>
          <w:iCs/>
          <w:sz w:val="28"/>
          <w:lang w:val="de-DE"/>
        </w:rPr>
        <w:t xml:space="preserve">- </w:t>
      </w:r>
      <w:r w:rsidRPr="002476CE">
        <w:rPr>
          <w:b/>
          <w:iCs/>
          <w:sz w:val="28"/>
          <w:lang w:val="de-DE"/>
        </w:rPr>
        <w:t>Bước 5</w:t>
      </w:r>
      <w:r w:rsidRPr="002476CE">
        <w:rPr>
          <w:iCs/>
          <w:sz w:val="28"/>
          <w:lang w:val="de-DE"/>
        </w:rPr>
        <w:t>: Trong thời hạn 10 ngày, kể từ ngày nhận được ý kiến bằng văn bản của Hội đồng tư vấn giải quyết kiến nghị, Chủ tịch Ủy ban nhân dân cấp huyện ban hành quyết định giải quyết kiến nghị về kết quả lựa chọn nhà đầu tư.</w:t>
      </w:r>
    </w:p>
    <w:p w:rsidR="00C7224D" w:rsidRPr="002476CE" w:rsidRDefault="00C7224D" w:rsidP="00C7224D">
      <w:pPr>
        <w:widowControl w:val="0"/>
        <w:spacing w:before="120" w:after="120" w:line="268" w:lineRule="auto"/>
        <w:ind w:firstLine="567"/>
        <w:jc w:val="both"/>
        <w:outlineLvl w:val="0"/>
        <w:rPr>
          <w:spacing w:val="-4"/>
          <w:sz w:val="28"/>
        </w:rPr>
      </w:pPr>
      <w:r w:rsidRPr="002476CE">
        <w:rPr>
          <w:spacing w:val="-4"/>
          <w:sz w:val="28"/>
        </w:rPr>
        <w:t xml:space="preserve">(Ghi chú: </w:t>
      </w:r>
    </w:p>
    <w:p w:rsidR="00C7224D" w:rsidRPr="002476CE" w:rsidRDefault="00C7224D" w:rsidP="00C7224D">
      <w:pPr>
        <w:widowControl w:val="0"/>
        <w:spacing w:before="120" w:after="120" w:line="268" w:lineRule="auto"/>
        <w:ind w:firstLine="567"/>
        <w:jc w:val="both"/>
        <w:outlineLvl w:val="0"/>
        <w:rPr>
          <w:spacing w:val="-4"/>
          <w:sz w:val="28"/>
        </w:rPr>
      </w:pPr>
      <w:r w:rsidRPr="002476CE">
        <w:rPr>
          <w:spacing w:val="-4"/>
          <w:sz w:val="28"/>
        </w:rPr>
        <w:t>+ Địa chỉ nhận đơn kiến nghị: Trụ sở của Bên mời thầu/Ủy ban nhân dân cấp huyện/Sở Kế hoạch và Đầu tư.</w:t>
      </w:r>
    </w:p>
    <w:p w:rsidR="00C7224D" w:rsidRPr="002476CE" w:rsidRDefault="00C7224D" w:rsidP="00C7224D">
      <w:pPr>
        <w:widowControl w:val="0"/>
        <w:spacing w:before="120" w:after="120" w:line="268" w:lineRule="auto"/>
        <w:ind w:firstLine="540"/>
        <w:jc w:val="both"/>
        <w:outlineLvl w:val="0"/>
        <w:rPr>
          <w:spacing w:val="-4"/>
          <w:sz w:val="28"/>
        </w:rPr>
      </w:pPr>
      <w:r w:rsidRPr="002476CE">
        <w:rPr>
          <w:spacing w:val="-4"/>
          <w:sz w:val="28"/>
        </w:rPr>
        <w:t>+ Thời gian nhận hồ sơ: Trong các ngày làm việc từ thứ hai đến thứ sáu (buổi sáng từ 07 giờ 30 phút đến 11 giờ 30 phút; buổi chiều tư 13 giờ 00 phút đến 17 giờ 00 phút).</w:t>
      </w:r>
    </w:p>
    <w:p w:rsidR="00C7224D" w:rsidRPr="002476CE" w:rsidRDefault="00C7224D" w:rsidP="00C7224D">
      <w:pPr>
        <w:widowControl w:val="0"/>
        <w:numPr>
          <w:ilvl w:val="0"/>
          <w:numId w:val="4"/>
        </w:numPr>
        <w:tabs>
          <w:tab w:val="left" w:pos="851"/>
        </w:tabs>
        <w:spacing w:before="120" w:after="200" w:line="252" w:lineRule="auto"/>
        <w:ind w:left="0" w:firstLine="567"/>
        <w:jc w:val="both"/>
        <w:rPr>
          <w:sz w:val="28"/>
        </w:rPr>
      </w:pPr>
      <w:r w:rsidRPr="002476CE">
        <w:rPr>
          <w:b/>
          <w:sz w:val="28"/>
        </w:rPr>
        <w:lastRenderedPageBreak/>
        <w:t xml:space="preserve">Cách thức thực hiện: </w:t>
      </w:r>
      <w:r w:rsidRPr="002476CE">
        <w:rPr>
          <w:spacing w:val="-4"/>
          <w:sz w:val="28"/>
        </w:rPr>
        <w:t xml:space="preserve">Gửi văn bản kiến nghị trực tiếp đến Bên mời thầu.  Trong trường hợp Bên mời thầu không giải quyết </w:t>
      </w:r>
      <w:r w:rsidRPr="002476CE">
        <w:rPr>
          <w:iCs/>
          <w:sz w:val="28"/>
          <w:lang w:val="de-DE"/>
        </w:rPr>
        <w:t xml:space="preserve">hoặc nhà đầu tư không đồng ý với kết quả giải quyết kiến nghị </w:t>
      </w:r>
      <w:r w:rsidRPr="002476CE">
        <w:rPr>
          <w:spacing w:val="-4"/>
          <w:sz w:val="28"/>
        </w:rPr>
        <w:t xml:space="preserve">thì Nhà đầu tư gửi văn bản kiến nghị đến </w:t>
      </w:r>
      <w:r w:rsidRPr="002476CE">
        <w:rPr>
          <w:iCs/>
          <w:sz w:val="28"/>
          <w:lang w:val="de-DE"/>
        </w:rPr>
        <w:t>Chủ tịch Ủy ban nhân dân cấp huyện và Hội đồng tư vấn giải quyết kiến nghị</w:t>
      </w:r>
      <w:r w:rsidRPr="002476CE">
        <w:rPr>
          <w:spacing w:val="-4"/>
          <w:sz w:val="28"/>
        </w:rPr>
        <w:t>.</w:t>
      </w:r>
    </w:p>
    <w:p w:rsidR="00C7224D" w:rsidRPr="002476CE" w:rsidRDefault="00C7224D" w:rsidP="00C7224D">
      <w:pPr>
        <w:widowControl w:val="0"/>
        <w:numPr>
          <w:ilvl w:val="0"/>
          <w:numId w:val="4"/>
        </w:numPr>
        <w:tabs>
          <w:tab w:val="left" w:pos="851"/>
        </w:tabs>
        <w:spacing w:before="120" w:after="200" w:line="252" w:lineRule="auto"/>
        <w:ind w:left="0" w:firstLine="567"/>
        <w:jc w:val="both"/>
        <w:rPr>
          <w:sz w:val="28"/>
          <w:lang w:val="es-ES"/>
        </w:rPr>
      </w:pPr>
      <w:r w:rsidRPr="002476CE">
        <w:rPr>
          <w:b/>
          <w:sz w:val="28"/>
          <w:lang w:val="es-ES"/>
        </w:rPr>
        <w:t>Thành phần, số lượng hồ sơ</w:t>
      </w:r>
      <w:r w:rsidRPr="002476CE">
        <w:rPr>
          <w:sz w:val="28"/>
          <w:lang w:val="es-ES"/>
        </w:rPr>
        <w:t>:</w:t>
      </w:r>
    </w:p>
    <w:p w:rsidR="00C7224D" w:rsidRPr="002476CE" w:rsidRDefault="00C7224D" w:rsidP="00C7224D">
      <w:pPr>
        <w:widowControl w:val="0"/>
        <w:spacing w:before="120" w:after="120" w:line="268" w:lineRule="auto"/>
        <w:ind w:firstLine="540"/>
        <w:jc w:val="both"/>
        <w:outlineLvl w:val="0"/>
        <w:rPr>
          <w:iCs/>
          <w:sz w:val="28"/>
          <w:lang w:val="es-ES"/>
        </w:rPr>
      </w:pPr>
      <w:r w:rsidRPr="002476CE">
        <w:rPr>
          <w:sz w:val="28"/>
          <w:lang w:val="es-ES"/>
        </w:rPr>
        <w:t>-</w:t>
      </w:r>
      <w:r w:rsidRPr="002476CE">
        <w:rPr>
          <w:b/>
          <w:sz w:val="28"/>
          <w:lang w:val="es-ES"/>
        </w:rPr>
        <w:t xml:space="preserve"> Thành phần hồ sơ: </w:t>
      </w:r>
      <w:r w:rsidRPr="002476CE">
        <w:rPr>
          <w:iCs/>
          <w:sz w:val="28"/>
          <w:lang w:val="es-ES"/>
        </w:rPr>
        <w:t>Văn bản kiến nghị</w:t>
      </w:r>
      <w:r w:rsidRPr="002476CE">
        <w:rPr>
          <w:iCs/>
          <w:sz w:val="28"/>
        </w:rPr>
        <w:t>.</w:t>
      </w:r>
    </w:p>
    <w:p w:rsidR="00C7224D" w:rsidRPr="002476CE" w:rsidRDefault="00C7224D" w:rsidP="00C7224D">
      <w:pPr>
        <w:widowControl w:val="0"/>
        <w:spacing w:before="120" w:after="120" w:line="268" w:lineRule="auto"/>
        <w:ind w:firstLine="540"/>
        <w:jc w:val="both"/>
        <w:outlineLvl w:val="0"/>
        <w:rPr>
          <w:sz w:val="28"/>
          <w:lang w:val="de-DE"/>
        </w:rPr>
      </w:pPr>
      <w:r w:rsidRPr="002476CE">
        <w:rPr>
          <w:sz w:val="28"/>
          <w:lang w:val="de-DE"/>
        </w:rPr>
        <w:t>-</w:t>
      </w:r>
      <w:r w:rsidRPr="002476CE">
        <w:rPr>
          <w:b/>
          <w:sz w:val="28"/>
          <w:lang w:val="de-DE"/>
        </w:rPr>
        <w:t xml:space="preserve"> Số lượng hồ sơ:</w:t>
      </w:r>
      <w:r w:rsidRPr="002476CE">
        <w:rPr>
          <w:sz w:val="28"/>
          <w:lang w:val="de-DE"/>
        </w:rPr>
        <w:t xml:space="preserve"> 01 </w:t>
      </w:r>
      <w:r w:rsidRPr="002476CE">
        <w:rPr>
          <w:sz w:val="28"/>
        </w:rPr>
        <w:t>bộ</w:t>
      </w:r>
      <w:r w:rsidRPr="002476CE">
        <w:rPr>
          <w:sz w:val="28"/>
          <w:lang w:val="de-DE"/>
        </w:rPr>
        <w:t>.</w:t>
      </w:r>
    </w:p>
    <w:p w:rsidR="00C7224D" w:rsidRPr="002476CE" w:rsidRDefault="00C7224D" w:rsidP="00C7224D">
      <w:pPr>
        <w:widowControl w:val="0"/>
        <w:numPr>
          <w:ilvl w:val="0"/>
          <w:numId w:val="4"/>
        </w:numPr>
        <w:tabs>
          <w:tab w:val="left" w:pos="851"/>
        </w:tabs>
        <w:spacing w:before="120" w:after="200" w:line="252" w:lineRule="auto"/>
        <w:ind w:left="0" w:firstLine="567"/>
        <w:jc w:val="both"/>
        <w:rPr>
          <w:sz w:val="28"/>
          <w:lang w:val="de-DE"/>
        </w:rPr>
      </w:pPr>
      <w:r w:rsidRPr="002476CE">
        <w:rPr>
          <w:b/>
          <w:sz w:val="28"/>
          <w:lang w:val="de-DE"/>
        </w:rPr>
        <w:t>Thời hạn giải quyết</w:t>
      </w:r>
      <w:r w:rsidRPr="002476CE">
        <w:rPr>
          <w:sz w:val="28"/>
          <w:lang w:val="de-DE"/>
        </w:rPr>
        <w:t xml:space="preserve">: </w:t>
      </w:r>
    </w:p>
    <w:p w:rsidR="00C7224D" w:rsidRPr="002476CE" w:rsidRDefault="00C7224D" w:rsidP="00C7224D">
      <w:pPr>
        <w:tabs>
          <w:tab w:val="left" w:pos="851"/>
        </w:tabs>
        <w:spacing w:before="120" w:line="252" w:lineRule="auto"/>
        <w:ind w:firstLine="567"/>
        <w:jc w:val="both"/>
        <w:rPr>
          <w:iCs/>
          <w:sz w:val="28"/>
          <w:lang w:val="de-DE"/>
        </w:rPr>
      </w:pPr>
      <w:r w:rsidRPr="002476CE">
        <w:rPr>
          <w:iCs/>
          <w:sz w:val="28"/>
          <w:lang w:val="de-DE"/>
        </w:rPr>
        <w:t xml:space="preserve">- Trường hợp giải quyết kiến nghị của bên mời thầu: Trong thời hạn 15 ngày kể từ ngày nhận được kiến nghị của nhà đầu tư. </w:t>
      </w:r>
    </w:p>
    <w:p w:rsidR="00C7224D" w:rsidRPr="002476CE" w:rsidRDefault="00C7224D" w:rsidP="00C7224D">
      <w:pPr>
        <w:tabs>
          <w:tab w:val="left" w:pos="851"/>
        </w:tabs>
        <w:spacing w:before="120" w:line="252" w:lineRule="auto"/>
        <w:ind w:firstLine="567"/>
        <w:jc w:val="both"/>
        <w:rPr>
          <w:iCs/>
          <w:sz w:val="28"/>
          <w:lang w:val="de-DE"/>
        </w:rPr>
      </w:pPr>
      <w:r w:rsidRPr="002476CE">
        <w:rPr>
          <w:iCs/>
          <w:sz w:val="28"/>
          <w:lang w:val="de-DE"/>
        </w:rPr>
        <w:t xml:space="preserve">- Trường hợp giải quyết kiến nghị của Chủ tịch Ủy ban nhân dân cấp huyện: </w:t>
      </w:r>
    </w:p>
    <w:p w:rsidR="00C7224D" w:rsidRPr="002476CE" w:rsidRDefault="00C7224D" w:rsidP="00C7224D">
      <w:pPr>
        <w:tabs>
          <w:tab w:val="left" w:pos="851"/>
        </w:tabs>
        <w:spacing w:before="120" w:line="252" w:lineRule="auto"/>
        <w:ind w:firstLine="567"/>
        <w:jc w:val="both"/>
        <w:rPr>
          <w:iCs/>
          <w:sz w:val="28"/>
          <w:lang w:val="de-DE"/>
        </w:rPr>
      </w:pPr>
      <w:r w:rsidRPr="002476CE">
        <w:rPr>
          <w:iCs/>
          <w:sz w:val="28"/>
          <w:lang w:val="de-DE"/>
        </w:rPr>
        <w:t>+ Trong thời hạn 30 ngày, kể từ ngày nhận được văn bản kiến nghị của nhà đầu tư, Hội đồng tư vấn báo cáo Chủ tịch Ủy ban nhân dân cấp huyện.</w:t>
      </w:r>
    </w:p>
    <w:p w:rsidR="00C7224D" w:rsidRPr="002476CE" w:rsidRDefault="00C7224D" w:rsidP="00C7224D">
      <w:pPr>
        <w:tabs>
          <w:tab w:val="left" w:pos="851"/>
        </w:tabs>
        <w:spacing w:before="120" w:line="252" w:lineRule="auto"/>
        <w:ind w:firstLine="567"/>
        <w:jc w:val="both"/>
        <w:rPr>
          <w:iCs/>
          <w:sz w:val="28"/>
          <w:lang w:val="de-DE"/>
        </w:rPr>
      </w:pPr>
      <w:r w:rsidRPr="002476CE">
        <w:rPr>
          <w:iCs/>
          <w:sz w:val="28"/>
          <w:lang w:val="de-DE"/>
        </w:rPr>
        <w:t>- Trong thời hạn 10 ngày, kể từ ngày nhận được ý kiến bằng văn bản của Hội đồng tư vấn giải quyết kiến nghị, Chủ tịch Ủy ban nhân dân cấp huyện có văn bản giải quyết kiến nghị.</w:t>
      </w:r>
    </w:p>
    <w:p w:rsidR="00C7224D" w:rsidRPr="002476CE" w:rsidRDefault="00C7224D" w:rsidP="00C7224D">
      <w:pPr>
        <w:widowControl w:val="0"/>
        <w:tabs>
          <w:tab w:val="left" w:pos="851"/>
        </w:tabs>
        <w:spacing w:before="120" w:line="252" w:lineRule="auto"/>
        <w:ind w:firstLine="567"/>
        <w:jc w:val="both"/>
        <w:rPr>
          <w:sz w:val="28"/>
          <w:lang w:val="de-DE"/>
        </w:rPr>
      </w:pPr>
      <w:r w:rsidRPr="002476CE">
        <w:rPr>
          <w:b/>
          <w:sz w:val="28"/>
          <w:lang w:val="de-DE"/>
        </w:rPr>
        <w:t>đ) Đối tượng thực hiện thủ tục hành chính</w:t>
      </w:r>
      <w:r w:rsidRPr="002476CE">
        <w:rPr>
          <w:sz w:val="28"/>
          <w:lang w:val="de-DE"/>
        </w:rPr>
        <w:t xml:space="preserve">: Nhà đầu tư </w:t>
      </w:r>
      <w:r w:rsidRPr="002476CE">
        <w:rPr>
          <w:bCs/>
          <w:sz w:val="28"/>
          <w:lang w:val="nl-NL"/>
        </w:rPr>
        <w:t>đối với dự án PPP.</w:t>
      </w:r>
    </w:p>
    <w:p w:rsidR="00C7224D" w:rsidRPr="002476CE" w:rsidRDefault="00C7224D" w:rsidP="00C7224D">
      <w:pPr>
        <w:widowControl w:val="0"/>
        <w:numPr>
          <w:ilvl w:val="0"/>
          <w:numId w:val="8"/>
        </w:numPr>
        <w:tabs>
          <w:tab w:val="left" w:pos="851"/>
        </w:tabs>
        <w:spacing w:before="120" w:after="200" w:line="252" w:lineRule="auto"/>
        <w:ind w:left="0" w:firstLine="567"/>
        <w:jc w:val="both"/>
        <w:rPr>
          <w:sz w:val="28"/>
          <w:lang w:val="de-DE"/>
        </w:rPr>
      </w:pPr>
      <w:r w:rsidRPr="002476CE">
        <w:rPr>
          <w:b/>
          <w:sz w:val="28"/>
          <w:lang w:val="de-DE"/>
        </w:rPr>
        <w:t>Cơ quan thực hiện thủ tục hành chính</w:t>
      </w:r>
      <w:r w:rsidRPr="002476CE">
        <w:rPr>
          <w:sz w:val="28"/>
          <w:lang w:val="de-DE"/>
        </w:rPr>
        <w:t xml:space="preserve">: </w:t>
      </w:r>
    </w:p>
    <w:p w:rsidR="00C7224D" w:rsidRPr="002476CE" w:rsidRDefault="00C7224D" w:rsidP="00C7224D">
      <w:pPr>
        <w:tabs>
          <w:tab w:val="left" w:pos="851"/>
        </w:tabs>
        <w:spacing w:before="120" w:line="252" w:lineRule="auto"/>
        <w:ind w:firstLine="567"/>
        <w:jc w:val="both"/>
        <w:rPr>
          <w:iCs/>
          <w:sz w:val="28"/>
          <w:lang w:val="es-ES"/>
        </w:rPr>
      </w:pPr>
      <w:r w:rsidRPr="002476CE">
        <w:rPr>
          <w:iCs/>
          <w:sz w:val="28"/>
          <w:lang w:val="es-ES"/>
        </w:rPr>
        <w:t xml:space="preserve">- Bên mời thầu: </w:t>
      </w:r>
      <w:r w:rsidRPr="002476CE">
        <w:rPr>
          <w:bCs/>
          <w:sz w:val="28"/>
          <w:lang w:val="nl-NL"/>
        </w:rPr>
        <w:t>Cơ quan thuộc Uỷ ban nhân dân cấp huyện được giao nhiệm vụ làm bên mời thầu</w:t>
      </w:r>
      <w:r w:rsidRPr="002476CE">
        <w:rPr>
          <w:iCs/>
          <w:sz w:val="28"/>
          <w:lang w:val="es-ES"/>
        </w:rPr>
        <w:t>.</w:t>
      </w:r>
    </w:p>
    <w:p w:rsidR="00C7224D" w:rsidRPr="002476CE" w:rsidRDefault="00C7224D" w:rsidP="00C7224D">
      <w:pPr>
        <w:tabs>
          <w:tab w:val="left" w:pos="851"/>
        </w:tabs>
        <w:spacing w:before="120" w:line="252" w:lineRule="auto"/>
        <w:ind w:firstLine="567"/>
        <w:jc w:val="both"/>
        <w:rPr>
          <w:iCs/>
          <w:sz w:val="28"/>
          <w:lang w:val="es-ES"/>
        </w:rPr>
      </w:pPr>
      <w:r w:rsidRPr="002476CE">
        <w:rPr>
          <w:iCs/>
          <w:sz w:val="28"/>
          <w:lang w:val="es-ES"/>
        </w:rPr>
        <w:t xml:space="preserve">- </w:t>
      </w:r>
      <w:r w:rsidRPr="002476CE">
        <w:rPr>
          <w:iCs/>
          <w:sz w:val="28"/>
          <w:lang w:val="de-DE"/>
        </w:rPr>
        <w:t>Chủ tịch Ủy ban nhân dân cấp huyện</w:t>
      </w:r>
      <w:r w:rsidRPr="002476CE">
        <w:rPr>
          <w:iCs/>
          <w:sz w:val="28"/>
          <w:lang w:val="es-ES"/>
        </w:rPr>
        <w:t xml:space="preserve"> </w:t>
      </w:r>
      <w:r w:rsidRPr="002476CE">
        <w:rPr>
          <w:bCs/>
          <w:sz w:val="28"/>
          <w:lang w:val="nl-NL"/>
        </w:rPr>
        <w:t>đối với dự án PPP được Ủy ban nhân dân thành phố ủy quyền.</w:t>
      </w:r>
    </w:p>
    <w:p w:rsidR="00C7224D" w:rsidRPr="002476CE" w:rsidRDefault="00C7224D" w:rsidP="00C7224D">
      <w:pPr>
        <w:widowControl w:val="0"/>
        <w:numPr>
          <w:ilvl w:val="0"/>
          <w:numId w:val="9"/>
        </w:numPr>
        <w:tabs>
          <w:tab w:val="left" w:pos="851"/>
        </w:tabs>
        <w:spacing w:before="120" w:after="200" w:line="252" w:lineRule="auto"/>
        <w:ind w:left="0" w:firstLine="567"/>
        <w:jc w:val="both"/>
        <w:rPr>
          <w:sz w:val="28"/>
          <w:lang w:val="de-DE"/>
        </w:rPr>
      </w:pPr>
      <w:r w:rsidRPr="002476CE">
        <w:rPr>
          <w:b/>
          <w:sz w:val="28"/>
          <w:lang w:val="de-DE"/>
        </w:rPr>
        <w:t>Kết quả thực hiện thủ tục hành chính</w:t>
      </w:r>
      <w:r w:rsidRPr="002476CE">
        <w:rPr>
          <w:sz w:val="28"/>
          <w:lang w:val="de-DE"/>
        </w:rPr>
        <w:t xml:space="preserve">: Văn bản giải quyết kiến nghị của bên mời thầu, </w:t>
      </w:r>
      <w:r w:rsidRPr="002476CE">
        <w:rPr>
          <w:iCs/>
          <w:sz w:val="28"/>
          <w:lang w:val="de-DE"/>
        </w:rPr>
        <w:t>Chủ tịch Ủy ban nhân dân cấp huyện</w:t>
      </w:r>
      <w:r w:rsidRPr="002476CE">
        <w:rPr>
          <w:sz w:val="28"/>
        </w:rPr>
        <w:t xml:space="preserve"> hoặc </w:t>
      </w:r>
      <w:r w:rsidRPr="002476CE">
        <w:rPr>
          <w:spacing w:val="-4"/>
          <w:sz w:val="28"/>
        </w:rPr>
        <w:t>thông báo cho nhà thầu về việc không xem xét, giải quyết kiến nghị.</w:t>
      </w:r>
    </w:p>
    <w:p w:rsidR="00C7224D" w:rsidRPr="002476CE" w:rsidRDefault="00C7224D" w:rsidP="00C7224D">
      <w:pPr>
        <w:widowControl w:val="0"/>
        <w:numPr>
          <w:ilvl w:val="0"/>
          <w:numId w:val="9"/>
        </w:numPr>
        <w:tabs>
          <w:tab w:val="left" w:pos="851"/>
        </w:tabs>
        <w:spacing w:before="120" w:after="200" w:line="252" w:lineRule="auto"/>
        <w:ind w:left="0" w:firstLine="567"/>
        <w:jc w:val="both"/>
        <w:rPr>
          <w:bCs/>
          <w:sz w:val="28"/>
          <w:lang w:val="de-DE"/>
        </w:rPr>
      </w:pPr>
      <w:r w:rsidRPr="002476CE">
        <w:rPr>
          <w:b/>
          <w:sz w:val="28"/>
          <w:lang w:val="de-DE"/>
        </w:rPr>
        <w:t>Tên mẫu đơn, mẫu tờ khai:</w:t>
      </w:r>
      <w:r w:rsidRPr="002476CE">
        <w:rPr>
          <w:sz w:val="28"/>
          <w:lang w:val="de-DE"/>
        </w:rPr>
        <w:t xml:space="preserve"> Không.</w:t>
      </w:r>
    </w:p>
    <w:p w:rsidR="00C7224D" w:rsidRPr="002476CE" w:rsidRDefault="00C7224D" w:rsidP="00C7224D">
      <w:pPr>
        <w:widowControl w:val="0"/>
        <w:numPr>
          <w:ilvl w:val="0"/>
          <w:numId w:val="10"/>
        </w:numPr>
        <w:tabs>
          <w:tab w:val="left" w:pos="851"/>
        </w:tabs>
        <w:spacing w:before="120" w:after="200" w:line="252" w:lineRule="auto"/>
        <w:ind w:left="0" w:firstLine="567"/>
        <w:jc w:val="both"/>
        <w:rPr>
          <w:sz w:val="28"/>
          <w:lang w:val="de-DE"/>
        </w:rPr>
      </w:pPr>
      <w:r w:rsidRPr="002476CE">
        <w:rPr>
          <w:b/>
          <w:sz w:val="28"/>
          <w:lang w:val="de-DE"/>
        </w:rPr>
        <w:t>Phí, Lệ phí</w:t>
      </w:r>
      <w:r w:rsidRPr="002476CE">
        <w:rPr>
          <w:sz w:val="28"/>
          <w:lang w:val="de-DE"/>
        </w:rPr>
        <w:t>: Chi phí cho Hội đồng tư vấn giải quyết kiến nghị của nhà đầu tư về kết quả lựa chọn nhà đầu tư là 0,02% tổng mức đầu tư của nhà đầu tư có kiến nghị nhưng tối thiểu là 20.000.000 đồng và tối đa là 200.000.000 đồng. </w:t>
      </w:r>
    </w:p>
    <w:p w:rsidR="00C7224D" w:rsidRPr="002476CE" w:rsidRDefault="00C7224D" w:rsidP="00C7224D">
      <w:pPr>
        <w:widowControl w:val="0"/>
        <w:numPr>
          <w:ilvl w:val="0"/>
          <w:numId w:val="11"/>
        </w:numPr>
        <w:tabs>
          <w:tab w:val="left" w:pos="851"/>
          <w:tab w:val="left" w:pos="993"/>
        </w:tabs>
        <w:spacing w:before="120" w:after="200" w:line="252" w:lineRule="auto"/>
        <w:ind w:left="0" w:firstLine="567"/>
        <w:jc w:val="both"/>
        <w:rPr>
          <w:sz w:val="28"/>
          <w:lang w:val="de-DE"/>
        </w:rPr>
      </w:pPr>
      <w:r w:rsidRPr="002476CE">
        <w:rPr>
          <w:b/>
          <w:sz w:val="28"/>
          <w:lang w:val="de-DE"/>
        </w:rPr>
        <w:t>Yêu cầu và điều kiện thực hiện thủ tục hành chính</w:t>
      </w:r>
      <w:r w:rsidRPr="002476CE">
        <w:rPr>
          <w:sz w:val="28"/>
          <w:lang w:val="de-DE"/>
        </w:rPr>
        <w:t>: Không.</w:t>
      </w:r>
    </w:p>
    <w:p w:rsidR="00C7224D" w:rsidRPr="002476CE" w:rsidRDefault="00C7224D" w:rsidP="00C7224D">
      <w:pPr>
        <w:widowControl w:val="0"/>
        <w:numPr>
          <w:ilvl w:val="0"/>
          <w:numId w:val="11"/>
        </w:numPr>
        <w:tabs>
          <w:tab w:val="left" w:pos="851"/>
        </w:tabs>
        <w:spacing w:before="120" w:after="200" w:line="252" w:lineRule="auto"/>
        <w:ind w:left="0" w:firstLine="567"/>
        <w:jc w:val="both"/>
        <w:rPr>
          <w:sz w:val="28"/>
          <w:lang w:val="de-DE"/>
        </w:rPr>
      </w:pPr>
      <w:r w:rsidRPr="002476CE">
        <w:rPr>
          <w:b/>
          <w:sz w:val="28"/>
          <w:lang w:val="de-DE"/>
        </w:rPr>
        <w:t>Căn cứ pháp lý của thủ tục hành chính</w:t>
      </w:r>
      <w:r w:rsidRPr="002476CE">
        <w:rPr>
          <w:sz w:val="28"/>
          <w:lang w:val="de-DE"/>
        </w:rPr>
        <w:t>:</w:t>
      </w:r>
    </w:p>
    <w:p w:rsidR="00C7224D" w:rsidRPr="002476CE" w:rsidRDefault="00C7224D" w:rsidP="00C7224D">
      <w:pPr>
        <w:numPr>
          <w:ilvl w:val="0"/>
          <w:numId w:val="1"/>
        </w:numPr>
        <w:tabs>
          <w:tab w:val="left" w:pos="851"/>
        </w:tabs>
        <w:spacing w:before="120" w:after="200" w:line="252" w:lineRule="auto"/>
        <w:ind w:left="0" w:firstLine="567"/>
        <w:jc w:val="both"/>
        <w:rPr>
          <w:sz w:val="28"/>
          <w:lang w:val="de-DE"/>
        </w:rPr>
      </w:pPr>
      <w:r w:rsidRPr="002476CE">
        <w:rPr>
          <w:sz w:val="28"/>
          <w:lang w:val="de-DE"/>
        </w:rPr>
        <w:t>Luật Đấu thầu số 43/2013/QH13 ngày 26 tháng 11 năm 2013 (</w:t>
      </w:r>
      <w:r w:rsidRPr="002476CE">
        <w:rPr>
          <w:sz w:val="28"/>
          <w:lang w:val="vi-VN"/>
        </w:rPr>
        <w:t xml:space="preserve">có hiệu lực </w:t>
      </w:r>
      <w:r w:rsidRPr="002476CE">
        <w:rPr>
          <w:sz w:val="28"/>
        </w:rPr>
        <w:t xml:space="preserve">thi hành </w:t>
      </w:r>
      <w:r w:rsidRPr="002476CE">
        <w:rPr>
          <w:sz w:val="28"/>
          <w:lang w:val="vi-VN"/>
        </w:rPr>
        <w:t>kể từ ngày 01 tháng 7 năm 201</w:t>
      </w:r>
      <w:r w:rsidRPr="002476CE">
        <w:rPr>
          <w:sz w:val="28"/>
        </w:rPr>
        <w:t>4)</w:t>
      </w:r>
      <w:r w:rsidRPr="002476CE">
        <w:rPr>
          <w:sz w:val="28"/>
          <w:lang w:val="de-DE"/>
        </w:rPr>
        <w:t>;</w:t>
      </w:r>
    </w:p>
    <w:p w:rsidR="00C7224D" w:rsidRPr="002476CE" w:rsidRDefault="00C7224D" w:rsidP="00C7224D">
      <w:pPr>
        <w:numPr>
          <w:ilvl w:val="0"/>
          <w:numId w:val="1"/>
        </w:numPr>
        <w:tabs>
          <w:tab w:val="left" w:pos="851"/>
        </w:tabs>
        <w:spacing w:before="120" w:after="200" w:line="252" w:lineRule="auto"/>
        <w:ind w:left="0" w:firstLine="567"/>
        <w:jc w:val="both"/>
        <w:rPr>
          <w:b/>
          <w:bCs/>
          <w:sz w:val="28"/>
          <w:lang w:val="nl-NL"/>
        </w:rPr>
      </w:pPr>
      <w:r w:rsidRPr="002476CE">
        <w:rPr>
          <w:sz w:val="28"/>
          <w:lang w:val="de-DE"/>
        </w:rPr>
        <w:lastRenderedPageBreak/>
        <w:t>Nghị định số 30/2015/NĐ-CP ngày 17 tháng 3 năm 2015 Quy định chi tiết thi hành một số điều của Luật đấu thầu về lựa chọn nhà đầu tư (</w:t>
      </w:r>
      <w:r w:rsidRPr="002476CE">
        <w:rPr>
          <w:sz w:val="28"/>
        </w:rPr>
        <w:t>có hiệu lực thi hành từ ngày 05 tháng 5 năm 2015)</w:t>
      </w:r>
      <w:r w:rsidRPr="002476CE">
        <w:rPr>
          <w:sz w:val="28"/>
          <w:lang w:val="de-DE"/>
        </w:rPr>
        <w:t>.</w:t>
      </w:r>
    </w:p>
    <w:p w:rsidR="00232E7F" w:rsidRDefault="00232E7F"/>
    <w:sectPr w:rsidR="00232E7F" w:rsidSect="00A122BD">
      <w:footerReference w:type="default" r:id="rId8"/>
      <w:footnotePr>
        <w:numRestart w:val="eachSect"/>
      </w:footnotePr>
      <w:pgSz w:w="11909" w:h="16834" w:code="9"/>
      <w:pgMar w:top="1134" w:right="994" w:bottom="709" w:left="1701" w:header="0" w:footer="17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1C5" w:rsidRDefault="00AF41C5">
      <w:r>
        <w:separator/>
      </w:r>
    </w:p>
  </w:endnote>
  <w:endnote w:type="continuationSeparator" w:id="0">
    <w:p w:rsidR="00AF41C5" w:rsidRDefault="00AF4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834" w:rsidRDefault="00A122BD">
    <w:pPr>
      <w:pStyle w:val="Footer"/>
      <w:jc w:val="right"/>
    </w:pPr>
    <w:r>
      <w:fldChar w:fldCharType="begin"/>
    </w:r>
    <w:r>
      <w:instrText xml:space="preserve"> PAGE   \* MERGEFORMAT </w:instrText>
    </w:r>
    <w:r>
      <w:fldChar w:fldCharType="separate"/>
    </w:r>
    <w:r w:rsidR="00A53709">
      <w:rPr>
        <w:noProof/>
      </w:rPr>
      <w:t>3</w:t>
    </w:r>
    <w:r>
      <w:rPr>
        <w:noProof/>
      </w:rPr>
      <w:fldChar w:fldCharType="end"/>
    </w:r>
  </w:p>
  <w:p w:rsidR="000B2834" w:rsidRPr="00480C2B" w:rsidRDefault="00AF41C5">
    <w:pPr>
      <w:pStyle w:val="Foo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1C5" w:rsidRDefault="00AF41C5">
      <w:r>
        <w:separator/>
      </w:r>
    </w:p>
  </w:footnote>
  <w:footnote w:type="continuationSeparator" w:id="0">
    <w:p w:rsidR="00AF41C5" w:rsidRDefault="00AF41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40BBF"/>
    <w:multiLevelType w:val="multilevel"/>
    <w:tmpl w:val="7A3807CF"/>
    <w:lvl w:ilvl="0">
      <w:start w:val="5"/>
      <w:numFmt w:val="lowerLetter"/>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6EF04CB"/>
    <w:multiLevelType w:val="multilevel"/>
    <w:tmpl w:val="62EF36CE"/>
    <w:lvl w:ilvl="0">
      <w:start w:val="11"/>
      <w:numFmt w:val="lowerLetter"/>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F680AB6"/>
    <w:multiLevelType w:val="multilevel"/>
    <w:tmpl w:val="38165F57"/>
    <w:lvl w:ilvl="0">
      <w:start w:val="7"/>
      <w:numFmt w:val="lowerLetter"/>
      <w:lvlText w:val="%1)"/>
      <w:lvlJc w:val="left"/>
      <w:pPr>
        <w:ind w:left="107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F6901C0"/>
    <w:multiLevelType w:val="multilevel"/>
    <w:tmpl w:val="6CD02F53"/>
    <w:lvl w:ilvl="0">
      <w:start w:val="1"/>
      <w:numFmt w:val="lowerLetter"/>
      <w:lvlText w:val="%1)"/>
      <w:lvlJc w:val="left"/>
      <w:pPr>
        <w:ind w:left="107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743033"/>
    <w:multiLevelType w:val="multilevel"/>
    <w:tmpl w:val="486348F5"/>
    <w:lvl w:ilvl="0">
      <w:start w:val="9"/>
      <w:numFmt w:val="lowerLetter"/>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34B6509"/>
    <w:multiLevelType w:val="multilevel"/>
    <w:tmpl w:val="434B65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476C3267"/>
    <w:multiLevelType w:val="hybridMultilevel"/>
    <w:tmpl w:val="9432D3FC"/>
    <w:lvl w:ilvl="0" w:tplc="A6E63BC8">
      <w:numFmt w:val="bullet"/>
      <w:lvlText w:val="-"/>
      <w:lvlJc w:val="left"/>
      <w:pPr>
        <w:ind w:left="1287"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4D9C1D74"/>
    <w:multiLevelType w:val="multilevel"/>
    <w:tmpl w:val="5E3D0B89"/>
    <w:lvl w:ilvl="0">
      <w:start w:val="8"/>
      <w:numFmt w:val="lowerLetter"/>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5834130"/>
    <w:multiLevelType w:val="multilevel"/>
    <w:tmpl w:val="7CB87230"/>
    <w:lvl w:ilvl="0">
      <w:start w:val="1"/>
      <w:numFmt w:val="lowerLetter"/>
      <w:lvlText w:val="%1)"/>
      <w:lvlJc w:val="left"/>
      <w:pPr>
        <w:ind w:left="1070" w:hanging="360"/>
      </w:pPr>
      <w:rPr>
        <w:b/>
      </w:rPr>
    </w:lvl>
    <w:lvl w:ilvl="1">
      <w:start w:val="1"/>
      <w:numFmt w:val="decimal"/>
      <w:lvlText w:val="(%2)"/>
      <w:lvlJc w:val="left"/>
      <w:pPr>
        <w:ind w:left="1470" w:hanging="39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95B177B"/>
    <w:multiLevelType w:val="multilevel"/>
    <w:tmpl w:val="0A127DE1"/>
    <w:lvl w:ilvl="0">
      <w:start w:val="11"/>
      <w:numFmt w:val="lowerLetter"/>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A143C6F"/>
    <w:multiLevelType w:val="multilevel"/>
    <w:tmpl w:val="19B5644C"/>
    <w:lvl w:ilvl="0">
      <w:start w:val="7"/>
      <w:numFmt w:val="lowerLetter"/>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5"/>
  </w:num>
  <w:num w:numId="3">
    <w:abstractNumId w:val="8"/>
  </w:num>
  <w:num w:numId="4">
    <w:abstractNumId w:val="3"/>
  </w:num>
  <w:num w:numId="5">
    <w:abstractNumId w:val="2"/>
  </w:num>
  <w:num w:numId="6">
    <w:abstractNumId w:val="7"/>
  </w:num>
  <w:num w:numId="7">
    <w:abstractNumId w:val="9"/>
  </w:num>
  <w:num w:numId="8">
    <w:abstractNumId w:val="0"/>
  </w:num>
  <w:num w:numId="9">
    <w:abstractNumId w:val="1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2"/>
  </w:compat>
  <w:rsids>
    <w:rsidRoot w:val="00C7224D"/>
    <w:rsid w:val="001357ED"/>
    <w:rsid w:val="00164459"/>
    <w:rsid w:val="001E3B56"/>
    <w:rsid w:val="00232E7F"/>
    <w:rsid w:val="0027604A"/>
    <w:rsid w:val="0042167B"/>
    <w:rsid w:val="006053F1"/>
    <w:rsid w:val="007B43A4"/>
    <w:rsid w:val="00994BF1"/>
    <w:rsid w:val="00A122BD"/>
    <w:rsid w:val="00A303E8"/>
    <w:rsid w:val="00A53709"/>
    <w:rsid w:val="00AC1507"/>
    <w:rsid w:val="00AF41C5"/>
    <w:rsid w:val="00BC5A7F"/>
    <w:rsid w:val="00C7224D"/>
    <w:rsid w:val="00CF2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24D"/>
    <w:rPr>
      <w:rFonts w:eastAsia="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7224D"/>
    <w:pPr>
      <w:ind w:left="720"/>
      <w:contextualSpacing/>
    </w:pPr>
    <w:rPr>
      <w:sz w:val="24"/>
      <w:szCs w:val="24"/>
    </w:rPr>
  </w:style>
  <w:style w:type="character" w:customStyle="1" w:styleId="ListParagraphChar">
    <w:name w:val="List Paragraph Char"/>
    <w:link w:val="ListParagraph"/>
    <w:uiPriority w:val="34"/>
    <w:rsid w:val="00C7224D"/>
    <w:rPr>
      <w:rFonts w:eastAsia="Times New Roman"/>
      <w:sz w:val="24"/>
      <w:szCs w:val="24"/>
    </w:rPr>
  </w:style>
  <w:style w:type="paragraph" w:styleId="Footer">
    <w:name w:val="footer"/>
    <w:basedOn w:val="Normal"/>
    <w:link w:val="FooterChar"/>
    <w:uiPriority w:val="99"/>
    <w:unhideWhenUsed/>
    <w:rsid w:val="00C7224D"/>
    <w:pPr>
      <w:tabs>
        <w:tab w:val="center" w:pos="4680"/>
        <w:tab w:val="right" w:pos="9360"/>
      </w:tabs>
    </w:pPr>
  </w:style>
  <w:style w:type="character" w:customStyle="1" w:styleId="FooterChar">
    <w:name w:val="Footer Char"/>
    <w:basedOn w:val="DefaultParagraphFont"/>
    <w:link w:val="Footer"/>
    <w:uiPriority w:val="99"/>
    <w:rsid w:val="00C7224D"/>
    <w:rPr>
      <w:rFonts w:eastAsia="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C8BEC1-D0B3-4BF8-8D83-4B179F3FC20C}"/>
</file>

<file path=customXml/itemProps2.xml><?xml version="1.0" encoding="utf-8"?>
<ds:datastoreItem xmlns:ds="http://schemas.openxmlformats.org/officeDocument/2006/customXml" ds:itemID="{CEDC2C04-FC20-4C55-BF54-BFCE738ADA45}"/>
</file>

<file path=customXml/itemProps3.xml><?xml version="1.0" encoding="utf-8"?>
<ds:datastoreItem xmlns:ds="http://schemas.openxmlformats.org/officeDocument/2006/customXml" ds:itemID="{E93D7DB2-3B98-410A-A89A-C3F3F840E8C8}"/>
</file>

<file path=docProps/app.xml><?xml version="1.0" encoding="utf-8"?>
<Properties xmlns="http://schemas.openxmlformats.org/officeDocument/2006/extended-properties" xmlns:vt="http://schemas.openxmlformats.org/officeDocument/2006/docPropsVTypes">
  <Template>Normal.dotm</Template>
  <TotalTime>2</TotalTime>
  <Pages>3</Pages>
  <Words>677</Words>
  <Characters>3864</Characters>
  <Application>Microsoft Office Word</Application>
  <DocSecurity>0</DocSecurity>
  <Lines>32</Lines>
  <Paragraphs>9</Paragraphs>
  <ScaleCrop>false</ScaleCrop>
  <Company/>
  <LinksUpToDate>false</LinksUpToDate>
  <CharactersWithSpaces>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c:creator>
  <cp:lastModifiedBy>Latitude E6320</cp:lastModifiedBy>
  <cp:revision>6</cp:revision>
  <dcterms:created xsi:type="dcterms:W3CDTF">2018-04-13T01:14:00Z</dcterms:created>
  <dcterms:modified xsi:type="dcterms:W3CDTF">2018-04-13T02:09:00Z</dcterms:modified>
</cp:coreProperties>
</file>